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right="0" w:rightChars="0"/>
        <w:textAlignment w:val="auto"/>
        <w:rPr>
          <w:rFonts w:hint="default"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after="157" w:afterLines="50" w:line="540" w:lineRule="exact"/>
        <w:ind w:right="105" w:rightChars="50"/>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方正小标宋简体" w:cs="Times New Roman"/>
          <w:sz w:val="32"/>
          <w:szCs w:val="32"/>
          <w:lang w:val="en-US" w:eastAsia="zh-CN"/>
        </w:rPr>
        <w:t>2024年昆明市残疾人职业技能培训项目</w:t>
      </w:r>
      <w:r>
        <w:rPr>
          <w:rFonts w:hint="default" w:ascii="Times New Roman" w:hAnsi="Times New Roman" w:eastAsia="方正小标宋简体" w:cs="Times New Roman"/>
          <w:sz w:val="32"/>
          <w:szCs w:val="32"/>
          <w:lang w:eastAsia="zh-CN"/>
        </w:rPr>
        <w:t>评审打分表</w:t>
      </w:r>
    </w:p>
    <w:tbl>
      <w:tblPr>
        <w:tblStyle w:val="3"/>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1483"/>
        <w:gridCol w:w="1417"/>
        <w:gridCol w:w="1033"/>
        <w:gridCol w:w="4300"/>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序号</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评  分  项</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分值</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评  分  标  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小标宋简体" w:cs="Times New Roman"/>
                <w:b w:val="0"/>
                <w:bCs/>
                <w:i w:val="0"/>
                <w:color w:val="000000"/>
                <w:sz w:val="28"/>
                <w:szCs w:val="28"/>
                <w:u w:val="none"/>
              </w:rPr>
            </w:pPr>
            <w:r>
              <w:rPr>
                <w:rFonts w:hint="default" w:ascii="Times New Roman" w:hAnsi="Times New Roman" w:eastAsia="方正小标宋简体" w:cs="Times New Roman"/>
                <w:b w:val="0"/>
                <w:bCs/>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1</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kern w:val="0"/>
                <w:sz w:val="28"/>
                <w:szCs w:val="28"/>
                <w:u w:val="none"/>
                <w:lang w:val="en-US" w:eastAsia="zh-CN" w:bidi="ar"/>
              </w:rPr>
              <w:t>认定资质</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cs="Times New Roman"/>
                <w:i w:val="0"/>
                <w:color w:val="000000"/>
                <w:kern w:val="0"/>
                <w:sz w:val="28"/>
                <w:szCs w:val="28"/>
                <w:u w:val="none"/>
                <w:lang w:val="en-US" w:eastAsia="zh-CN" w:bidi="ar"/>
              </w:rPr>
            </w:pPr>
            <w:r>
              <w:rPr>
                <w:rFonts w:hint="default" w:ascii="Times New Roman" w:hAnsi="Times New Roman" w:cs="Times New Roman"/>
                <w:i w:val="0"/>
                <w:color w:val="000000"/>
                <w:kern w:val="0"/>
                <w:sz w:val="28"/>
                <w:szCs w:val="28"/>
                <w:u w:val="none"/>
                <w:lang w:val="en-US" w:eastAsia="zh-CN" w:bidi="ar"/>
              </w:rPr>
              <w:t>一票</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cs="Times New Roman"/>
                <w:i w:val="0"/>
                <w:color w:val="000000"/>
                <w:kern w:val="0"/>
                <w:sz w:val="28"/>
                <w:szCs w:val="28"/>
                <w:u w:val="none"/>
                <w:lang w:val="en-US" w:eastAsia="zh-CN" w:bidi="ar"/>
              </w:rPr>
            </w:pPr>
            <w:r>
              <w:rPr>
                <w:rFonts w:hint="default" w:ascii="Times New Roman" w:hAnsi="Times New Roman" w:cs="Times New Roman"/>
                <w:i w:val="0"/>
                <w:color w:val="000000"/>
                <w:kern w:val="0"/>
                <w:sz w:val="28"/>
                <w:szCs w:val="28"/>
                <w:u w:val="none"/>
                <w:lang w:val="en-US" w:eastAsia="zh-CN" w:bidi="ar"/>
              </w:rPr>
              <w:t>否决</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（1）在政府采购网站上有机构备案；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（2）具有相关承接资质，依法设立，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能独立承担民事责任；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治理结构健全，内部管理和监督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制度完善；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0" w:firstLineChars="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具有独立的财务管理、会计核算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和资产管理制度；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0" w:firstLineChars="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有从事培训业务的营业场所和相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应资金；</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（6）具有依法纳税和社保的良好记录；</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（7）社会信誉、商业信誉良好。</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业绩情况</w:t>
            </w:r>
            <w:r>
              <w:rPr>
                <w:rFonts w:hint="default" w:ascii="Times New Roman" w:hAnsi="Times New Roman" w:eastAsia="宋体" w:cs="Times New Roman"/>
                <w:i w:val="0"/>
                <w:color w:val="000000"/>
                <w:kern w:val="0"/>
                <w:sz w:val="28"/>
                <w:szCs w:val="28"/>
                <w:u w:val="none"/>
                <w:lang w:val="en-US" w:eastAsia="zh-CN" w:bidi="ar"/>
              </w:rPr>
              <w:br w:type="textWrapping"/>
            </w: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10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2"/>
                <w:sz w:val="25"/>
                <w:szCs w:val="25"/>
                <w:u w:val="none"/>
                <w:lang w:val="en-US" w:eastAsia="zh-CN" w:bidi="ar-SA"/>
              </w:rPr>
            </w:pPr>
            <w:r>
              <w:rPr>
                <w:rFonts w:hint="default" w:ascii="Times New Roman" w:hAnsi="Times New Roman" w:cs="Times New Roman"/>
                <w:i w:val="0"/>
                <w:color w:val="000000"/>
                <w:sz w:val="25"/>
                <w:szCs w:val="25"/>
                <w:u w:val="none"/>
                <w:lang w:eastAsia="zh-CN"/>
              </w:rPr>
              <w:t>业绩经验</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10分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cs="Times New Roman"/>
                <w:i w:val="0"/>
                <w:color w:val="000000"/>
                <w:sz w:val="24"/>
                <w:szCs w:val="24"/>
                <w:u w:val="none"/>
                <w:lang w:val="en-US" w:eastAsia="zh-CN"/>
              </w:rPr>
              <w:t>供应商近三年至少完成100项类似业绩,新成立少于三年的机构平均每年完成30项类似业绩，</w:t>
            </w:r>
            <w:r>
              <w:rPr>
                <w:rFonts w:hint="default" w:ascii="Times New Roman" w:hAnsi="Times New Roman" w:cs="Times New Roman"/>
                <w:i w:val="0"/>
                <w:color w:val="000000"/>
                <w:sz w:val="24"/>
                <w:szCs w:val="24"/>
                <w:u w:val="none"/>
                <w:lang w:eastAsia="zh-CN"/>
              </w:rPr>
              <w:t>提供中标通知书等材料，得</w:t>
            </w:r>
            <w:r>
              <w:rPr>
                <w:rFonts w:hint="default" w:ascii="Times New Roman" w:hAnsi="Times New Roman" w:cs="Times New Roman"/>
                <w:i w:val="0"/>
                <w:color w:val="000000"/>
                <w:sz w:val="24"/>
                <w:szCs w:val="24"/>
                <w:u w:val="none"/>
                <w:lang w:val="en-US" w:eastAsia="zh-CN"/>
              </w:rPr>
              <w:t>10分，对比次之得5-9分，对比一般得1-4分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32"/>
                <w:szCs w:val="32"/>
                <w:u w:val="none"/>
                <w:lang w:val="en-US" w:eastAsia="zh-CN" w:bidi="ar"/>
              </w:rPr>
            </w:pPr>
            <w:r>
              <w:rPr>
                <w:rFonts w:hint="default" w:ascii="Times New Roman" w:hAnsi="Times New Roman" w:cs="Times New Roman"/>
                <w:i w:val="0"/>
                <w:color w:val="000000"/>
                <w:kern w:val="0"/>
                <w:sz w:val="32"/>
                <w:szCs w:val="32"/>
                <w:u w:val="none"/>
                <w:lang w:val="en-US" w:eastAsia="zh-CN" w:bidi="ar"/>
              </w:rPr>
              <w:t>3</w:t>
            </w:r>
          </w:p>
        </w:tc>
        <w:tc>
          <w:tcPr>
            <w:tcW w:w="14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cs="Times New Roman"/>
                <w:i w:val="0"/>
                <w:color w:val="000000"/>
                <w:kern w:val="0"/>
                <w:sz w:val="28"/>
                <w:szCs w:val="28"/>
                <w:u w:val="none"/>
                <w:lang w:val="en-US" w:eastAsia="zh-CN" w:bidi="ar"/>
              </w:rPr>
              <w:t>机构、</w:t>
            </w:r>
            <w:r>
              <w:rPr>
                <w:rFonts w:hint="default" w:ascii="Times New Roman" w:hAnsi="Times New Roman" w:eastAsia="宋体" w:cs="Times New Roman"/>
                <w:i w:val="0"/>
                <w:color w:val="000000"/>
                <w:kern w:val="0"/>
                <w:sz w:val="28"/>
                <w:szCs w:val="28"/>
                <w:u w:val="none"/>
                <w:lang w:val="en-US" w:eastAsia="zh-CN" w:bidi="ar"/>
              </w:rPr>
              <w:t>人员</w:t>
            </w:r>
            <w:r>
              <w:rPr>
                <w:rFonts w:hint="default" w:ascii="Times New Roman" w:hAnsi="Times New Roman" w:cs="Times New Roman"/>
                <w:i w:val="0"/>
                <w:color w:val="000000"/>
                <w:kern w:val="0"/>
                <w:sz w:val="28"/>
                <w:szCs w:val="28"/>
                <w:u w:val="none"/>
                <w:lang w:val="en-US" w:eastAsia="zh-CN" w:bidi="ar"/>
              </w:rPr>
              <w:t>、管理计划</w:t>
            </w: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20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机构</w:t>
            </w:r>
            <w:r>
              <w:rPr>
                <w:rFonts w:hint="default" w:ascii="Times New Roman" w:hAnsi="Times New Roman" w:cs="Times New Roman"/>
                <w:i w:val="0"/>
                <w:color w:val="000000"/>
                <w:kern w:val="0"/>
                <w:sz w:val="25"/>
                <w:szCs w:val="25"/>
                <w:u w:val="none"/>
                <w:lang w:val="en-US" w:eastAsia="zh-CN" w:bidi="ar"/>
              </w:rPr>
              <w:t>设立、</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人员配置、管理计划</w:t>
            </w:r>
          </w:p>
        </w:tc>
        <w:tc>
          <w:tcPr>
            <w:tcW w:w="10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sz w:val="24"/>
                <w:szCs w:val="24"/>
                <w:u w:val="none"/>
                <w:lang w:eastAsia="zh-CN"/>
              </w:rPr>
              <w:t>机构设立完善，人员配置齐全、管理计划科学合理得</w:t>
            </w:r>
            <w:r>
              <w:rPr>
                <w:rFonts w:hint="default" w:ascii="Times New Roman" w:hAnsi="Times New Roman" w:cs="Times New Roman"/>
                <w:i w:val="0"/>
                <w:color w:val="000000"/>
                <w:sz w:val="24"/>
                <w:szCs w:val="24"/>
                <w:u w:val="none"/>
                <w:lang w:val="en-US" w:eastAsia="zh-CN"/>
              </w:rPr>
              <w:t>15-20分，对比次之得11-15分，对比一般得5-10分，对比差得1-4分。</w:t>
            </w:r>
          </w:p>
        </w:tc>
        <w:tc>
          <w:tcPr>
            <w:tcW w:w="118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78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4</w:t>
            </w:r>
          </w:p>
        </w:tc>
        <w:tc>
          <w:tcPr>
            <w:tcW w:w="14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firstLine="280" w:firstLineChars="100"/>
              <w:jc w:val="both"/>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w:t>
            </w:r>
            <w:r>
              <w:rPr>
                <w:rFonts w:hint="default" w:ascii="Times New Roman" w:hAnsi="Times New Roman" w:cs="Times New Roman"/>
                <w:i w:val="0"/>
                <w:color w:val="000000"/>
                <w:kern w:val="0"/>
                <w:sz w:val="28"/>
                <w:szCs w:val="28"/>
                <w:u w:val="none"/>
                <w:lang w:val="en-US" w:eastAsia="zh-CN" w:bidi="ar"/>
              </w:rPr>
              <w:t>10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报价</w:t>
            </w:r>
          </w:p>
        </w:tc>
        <w:tc>
          <w:tcPr>
            <w:tcW w:w="10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10分</w:t>
            </w:r>
          </w:p>
        </w:tc>
        <w:tc>
          <w:tcPr>
            <w:tcW w:w="4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以满足招标文件要求且最后有效报价最低的供应商的价格为基准价格，其他供应商的价格分统一按照以下公式计算：报价得分=（基准价/报价）*10（保留两位小数点）。</w:t>
            </w:r>
          </w:p>
        </w:tc>
        <w:tc>
          <w:tcPr>
            <w:tcW w:w="11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5</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服务方案（</w:t>
            </w:r>
            <w:r>
              <w:rPr>
                <w:rFonts w:hint="default" w:ascii="Times New Roman" w:hAnsi="Times New Roman" w:cs="Times New Roman"/>
                <w:i w:val="0"/>
                <w:color w:val="000000"/>
                <w:kern w:val="0"/>
                <w:sz w:val="28"/>
                <w:szCs w:val="28"/>
                <w:u w:val="none"/>
                <w:lang w:val="en-US" w:eastAsia="zh-CN" w:bidi="ar"/>
              </w:rPr>
              <w:t>60</w:t>
            </w:r>
            <w:r>
              <w:rPr>
                <w:rFonts w:hint="default" w:ascii="Times New Roman" w:hAnsi="Times New Roman" w:eastAsia="宋体" w:cs="Times New Roman"/>
                <w:i w:val="0"/>
                <w:color w:val="000000"/>
                <w:kern w:val="0"/>
                <w:sz w:val="28"/>
                <w:szCs w:val="28"/>
                <w:u w:val="none"/>
                <w:lang w:val="en-US" w:eastAsia="zh-CN" w:bidi="ar"/>
              </w:rPr>
              <w:t>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工作方案</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50分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（1）工作方案详细，针对性强，得15-20分，对比次之得11-14分，对比一般得5-10分，对比差得1-4分；</w:t>
            </w:r>
          </w:p>
          <w:p>
            <w:pPr>
              <w:keepNext w:val="0"/>
              <w:keepLines w:val="0"/>
              <w:pageBreakBefore w:val="0"/>
              <w:widowControl/>
              <w:suppressLineNumbers w:val="0"/>
              <w:kinsoku/>
              <w:wordWrap/>
              <w:overflowPunct/>
              <w:topLinePunct w:val="0"/>
              <w:autoSpaceDE/>
              <w:autoSpaceDN/>
              <w:bidi w:val="0"/>
              <w:adjustRightInd/>
              <w:snapToGrid/>
              <w:spacing w:line="540" w:lineRule="exact"/>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（2）内容具体，能充分体现本项目招标特点，得10分，对比次之得5-9分，对比一般得1-4分，对比差得不得分；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540" w:lineRule="exact"/>
              <w:ind w:left="480" w:hanging="480" w:hanging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（3）服务工作周期详细、合理、可行的，得10分，对比次之得5-9分，对比一般得1-4分，对比差得不得分；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540" w:lineRule="exact"/>
              <w:ind w:left="480" w:hanging="480" w:hangingChars="20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（4）熟悉残疾人事业、有过类似经验，结合项目实际需求给分，1-10分。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6</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服务质量</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保证措施</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及承诺</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5分</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服务质量保证措施及承诺内容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239" w:leftChars="114" w:firstLine="240" w:firstLineChars="1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具体，切实可行，并附有具体违约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239" w:leftChars="114" w:firstLine="240" w:firstLineChars="1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承诺的得5分；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left="0" w:leftChars="0" w:firstLine="0" w:firstLineChars="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服务质量保证措施及承诺内容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空洞，有具体违约承诺的得2-4分；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（3）服务质量保证措施及承诺内容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空洞，违约承诺不具体的得1分。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6" w:hRule="atLeast"/>
          <w:jc w:val="center"/>
        </w:trPr>
        <w:tc>
          <w:tcPr>
            <w:tcW w:w="7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32"/>
                <w:szCs w:val="32"/>
                <w:u w:val="none"/>
                <w:lang w:val="en-US" w:eastAsia="zh-CN"/>
              </w:rPr>
            </w:pPr>
            <w:r>
              <w:rPr>
                <w:rFonts w:hint="default" w:ascii="Times New Roman" w:hAnsi="Times New Roman" w:cs="Times New Roman"/>
                <w:i w:val="0"/>
                <w:color w:val="000000"/>
                <w:sz w:val="32"/>
                <w:szCs w:val="32"/>
                <w:u w:val="none"/>
                <w:lang w:val="en-US" w:eastAsia="zh-CN"/>
              </w:rPr>
              <w:t>7</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i w:val="0"/>
                <w:color w:val="000000"/>
                <w:sz w:val="28"/>
                <w:szCs w:val="2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25"/>
                <w:szCs w:val="25"/>
                <w:u w:val="none"/>
                <w:lang w:val="en-US" w:eastAsia="zh-CN" w:bidi="ar"/>
              </w:rPr>
            </w:pPr>
            <w:r>
              <w:rPr>
                <w:rFonts w:hint="default" w:ascii="Times New Roman" w:hAnsi="Times New Roman" w:eastAsia="宋体" w:cs="Times New Roman"/>
                <w:i w:val="0"/>
                <w:color w:val="000000"/>
                <w:kern w:val="0"/>
                <w:sz w:val="25"/>
                <w:szCs w:val="25"/>
                <w:u w:val="none"/>
                <w:lang w:val="en-US" w:eastAsia="zh-CN" w:bidi="ar"/>
              </w:rPr>
              <w:t>服务期限</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sz w:val="25"/>
                <w:szCs w:val="25"/>
                <w:u w:val="none"/>
              </w:rPr>
            </w:pPr>
            <w:r>
              <w:rPr>
                <w:rFonts w:hint="default" w:ascii="Times New Roman" w:hAnsi="Times New Roman" w:eastAsia="宋体" w:cs="Times New Roman"/>
                <w:i w:val="0"/>
                <w:color w:val="000000"/>
                <w:kern w:val="0"/>
                <w:sz w:val="25"/>
                <w:szCs w:val="25"/>
                <w:u w:val="none"/>
                <w:lang w:val="en-US" w:eastAsia="zh-CN" w:bidi="ar"/>
              </w:rPr>
              <w:t>和廉洁管理措施及承诺</w:t>
            </w:r>
          </w:p>
        </w:tc>
        <w:tc>
          <w:tcPr>
            <w:tcW w:w="10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2"/>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
              </w:rPr>
              <w:t>5分</w:t>
            </w:r>
          </w:p>
        </w:tc>
        <w:tc>
          <w:tcPr>
            <w:tcW w:w="4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（1）服务期限保障和廉洁管理措施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内容具体，切实可行，并附有</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具体廉洁违约承诺的得5分；</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（2）服务期限保障和廉洁管理措施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内容空洞，有具体廉洁违约承诺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的得2-4分；</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（3）服务期限保障和廉洁管理措施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内容空洞，且无具体廉洁违约承诺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480" w:firstLineChars="20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的得1分。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b w:val="0"/>
                <w:bCs/>
                <w:i w:val="0"/>
                <w:color w:val="000000"/>
                <w:kern w:val="0"/>
                <w:sz w:val="28"/>
                <w:szCs w:val="28"/>
                <w:u w:val="none"/>
                <w:lang w:val="en-US" w:eastAsia="zh-CN" w:bidi="ar"/>
              </w:rPr>
              <w:t>总分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100分</w:t>
            </w:r>
          </w:p>
        </w:tc>
        <w:tc>
          <w:tcPr>
            <w:tcW w:w="5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i w:val="0"/>
                <w:color w:val="000000"/>
                <w:sz w:val="22"/>
                <w:szCs w:val="22"/>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132FB"/>
    <w:multiLevelType w:val="singleLevel"/>
    <w:tmpl w:val="3D8132FB"/>
    <w:lvl w:ilvl="0" w:tentative="0">
      <w:start w:val="1"/>
      <w:numFmt w:val="decimal"/>
      <w:suff w:val="nothing"/>
      <w:lvlText w:val="（%1）"/>
      <w:lvlJc w:val="left"/>
    </w:lvl>
  </w:abstractNum>
  <w:abstractNum w:abstractNumId="1">
    <w:nsid w:val="70ADE4FF"/>
    <w:multiLevelType w:val="singleLevel"/>
    <w:tmpl w:val="70ADE4F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ZDc2MzZhYzQ3YTc3NTgzYThiNWMxY2U2NmQwNTIifQ=="/>
  </w:docVars>
  <w:rsids>
    <w:rsidRoot w:val="00000000"/>
    <w:rsid w:val="70BE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列出段落1"/>
    <w:basedOn w:val="1"/>
    <w:qFormat/>
    <w:uiPriority w:val="99"/>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2024-06-17T06:01:53Z</dcterms:created>
  <dc:creator>Administrator</dc:creator>
  <cp:lastModifiedBy>daisy</cp:lastModifiedBy>
  <dcterms:modified xsi:type="dcterms:W3CDTF">2024-06-17T06:02:13Z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23E72450D6B3462F84599045FEE2B28B_12</vt:lpwstr>
  </property>
</Properties>
</file>